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Times New Roman" w:hAnsi="Times New Roman" w:eastAsia="黑体" w:cs="Times New Roman"/>
          <w:snapToGrid/>
          <w:kern w:val="2"/>
          <w:sz w:val="32"/>
          <w:szCs w:val="32"/>
          <w:lang w:val="en-US" w:eastAsia="zh-CN" w:bidi="ar-SA"/>
        </w:rPr>
      </w:pPr>
      <w:r>
        <w:rPr>
          <w:rFonts w:hint="eastAsia" w:ascii="Times New Roman" w:hAnsi="Times New Roman" w:eastAsia="黑体" w:cs="Times New Roman"/>
          <w:snapToGrid/>
          <w:kern w:val="2"/>
          <w:sz w:val="32"/>
          <w:szCs w:val="32"/>
          <w:lang w:val="en-US" w:eastAsia="zh-CN" w:bidi="ar-SA"/>
        </w:rPr>
        <w:t>附件1</w:t>
      </w:r>
    </w:p>
    <w:p>
      <w:pPr>
        <w:keepNext w:val="0"/>
        <w:keepLines w:val="0"/>
        <w:pageBreakBefore w:val="0"/>
        <w:widowControl w:val="0"/>
        <w:kinsoku/>
        <w:wordWrap/>
        <w:overflowPunct/>
        <w:topLinePunct w:val="0"/>
        <w:bidi w:val="0"/>
        <w:spacing w:line="560" w:lineRule="exact"/>
        <w:ind w:left="0" w:right="0"/>
        <w:jc w:val="center"/>
        <w:textAlignment w:val="auto"/>
        <w:rPr>
          <w:rFonts w:ascii="Times New Roman" w:hAnsi="Times New Roman"/>
          <w:sz w:val="21"/>
        </w:rPr>
      </w:pPr>
    </w:p>
    <w:p>
      <w:pPr>
        <w:keepNext w:val="0"/>
        <w:keepLines w:val="0"/>
        <w:pageBreakBefore w:val="0"/>
        <w:widowControl w:val="0"/>
        <w:kinsoku/>
        <w:wordWrap/>
        <w:overflowPunct/>
        <w:topLinePunct w:val="0"/>
        <w:bidi w:val="0"/>
        <w:spacing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食品安全事故分级标准和响应规定</w:t>
      </w:r>
    </w:p>
    <w:tbl>
      <w:tblPr>
        <w:tblStyle w:val="10"/>
        <w:tblpPr w:leftFromText="180" w:rightFromText="180" w:vertAnchor="text" w:horzAnchor="page" w:tblpX="1660" w:tblpY="201"/>
        <w:tblOverlap w:val="never"/>
        <w:tblW w:w="8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5553"/>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93" w:type="dxa"/>
            <w:vAlign w:val="top"/>
          </w:tcPr>
          <w:p>
            <w:pPr>
              <w:keepNext w:val="0"/>
              <w:keepLines w:val="0"/>
              <w:pageBreakBefore w:val="0"/>
              <w:widowControl w:val="0"/>
              <w:kinsoku/>
              <w:wordWrap/>
              <w:overflowPunct/>
              <w:topLinePunct w:val="0"/>
              <w:bidi w:val="0"/>
              <w:spacing w:line="560" w:lineRule="exact"/>
              <w:ind w:left="0" w:right="0" w:firstLine="440" w:firstLineChars="20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pacing w:val="-10"/>
                <w:sz w:val="24"/>
                <w:szCs w:val="24"/>
              </w:rPr>
              <w:t>级</w:t>
            </w:r>
            <w:r>
              <w:rPr>
                <w:rFonts w:hint="eastAsia" w:ascii="Times New Roman" w:hAnsi="Times New Roman" w:eastAsia="黑体" w:cs="黑体"/>
                <w:b w:val="0"/>
                <w:bCs w:val="0"/>
                <w:spacing w:val="38"/>
                <w:sz w:val="24"/>
                <w:szCs w:val="24"/>
                <w:lang w:val="en-US" w:eastAsia="zh-CN"/>
              </w:rPr>
              <w:t xml:space="preserve">  </w:t>
            </w:r>
            <w:r>
              <w:rPr>
                <w:rFonts w:hint="eastAsia" w:ascii="Times New Roman" w:hAnsi="Times New Roman" w:eastAsia="黑体" w:cs="黑体"/>
                <w:b w:val="0"/>
                <w:bCs w:val="0"/>
                <w:spacing w:val="-10"/>
                <w:sz w:val="24"/>
                <w:szCs w:val="24"/>
              </w:rPr>
              <w:t>别</w:t>
            </w:r>
          </w:p>
        </w:tc>
        <w:tc>
          <w:tcPr>
            <w:tcW w:w="5553" w:type="dxa"/>
            <w:vAlign w:val="top"/>
          </w:tcPr>
          <w:p>
            <w:pPr>
              <w:keepNext w:val="0"/>
              <w:keepLines w:val="0"/>
              <w:pageBreakBefore w:val="0"/>
              <w:widowControl w:val="0"/>
              <w:kinsoku/>
              <w:wordWrap/>
              <w:overflowPunct/>
              <w:topLinePunct w:val="0"/>
              <w:bidi w:val="0"/>
              <w:spacing w:line="560" w:lineRule="exact"/>
              <w:ind w:left="0" w:right="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pacing w:val="-8"/>
                <w:sz w:val="24"/>
                <w:szCs w:val="24"/>
              </w:rPr>
              <w:t>标</w:t>
            </w:r>
            <w:r>
              <w:rPr>
                <w:rFonts w:hint="eastAsia" w:ascii="Times New Roman" w:hAnsi="Times New Roman" w:eastAsia="黑体" w:cs="黑体"/>
                <w:b w:val="0"/>
                <w:bCs w:val="0"/>
                <w:spacing w:val="28"/>
                <w:sz w:val="24"/>
                <w:szCs w:val="24"/>
                <w:lang w:val="en-US" w:eastAsia="zh-CN"/>
              </w:rPr>
              <w:t xml:space="preserve">  </w:t>
            </w:r>
            <w:r>
              <w:rPr>
                <w:rFonts w:hint="eastAsia" w:ascii="Times New Roman" w:hAnsi="Times New Roman" w:eastAsia="黑体" w:cs="黑体"/>
                <w:b w:val="0"/>
                <w:bCs w:val="0"/>
                <w:spacing w:val="-8"/>
                <w:sz w:val="24"/>
                <w:szCs w:val="24"/>
              </w:rPr>
              <w:t>准</w:t>
            </w:r>
          </w:p>
        </w:tc>
        <w:tc>
          <w:tcPr>
            <w:tcW w:w="1853" w:type="dxa"/>
            <w:vAlign w:val="top"/>
          </w:tcPr>
          <w:p>
            <w:pPr>
              <w:keepNext w:val="0"/>
              <w:keepLines w:val="0"/>
              <w:pageBreakBefore w:val="0"/>
              <w:widowControl w:val="0"/>
              <w:kinsoku/>
              <w:wordWrap/>
              <w:overflowPunct/>
              <w:topLinePunct w:val="0"/>
              <w:bidi w:val="0"/>
              <w:spacing w:line="560" w:lineRule="exact"/>
              <w:ind w:left="0" w:right="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响应级别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159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5"/>
                <w:sz w:val="24"/>
                <w:szCs w:val="24"/>
              </w:rPr>
              <w:t>特别重大食</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sz w:val="24"/>
                <w:szCs w:val="24"/>
              </w:rPr>
              <w:t>品安全事故</w:t>
            </w:r>
          </w:p>
        </w:tc>
        <w:tc>
          <w:tcPr>
            <w:tcW w:w="55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lang w:val="en-US" w:eastAsia="zh-CN"/>
              </w:rPr>
              <w:t>1</w:t>
            </w: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rPr>
              <w:t>事故危害特别严重，对2个以上省份造成严重</w:t>
            </w:r>
            <w:r>
              <w:rPr>
                <w:rFonts w:hint="eastAsia" w:ascii="Times New Roman" w:hAnsi="Times New Roman" w:eastAsia="楷体" w:cs="楷体"/>
                <w:spacing w:val="8"/>
                <w:sz w:val="24"/>
                <w:szCs w:val="24"/>
              </w:rPr>
              <w:t>威胁，并有进一步扩散趋势的；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lang w:val="en-US" w:eastAsia="zh-CN"/>
              </w:rPr>
              <w:t>2</w:t>
            </w: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rPr>
              <w:t>超出事发地省级人民政府处置能力水平的；</w:t>
            </w:r>
          </w:p>
          <w:p>
            <w:pPr>
              <w:keepNext w:val="0"/>
              <w:keepLines w:val="0"/>
              <w:pageBreakBefore w:val="0"/>
              <w:widowControl w:val="0"/>
              <w:kinsoku/>
              <w:wordWrap/>
              <w:overflowPunct/>
              <w:topLinePunct w:val="0"/>
              <w:bidi w:val="0"/>
              <w:spacing w:line="560" w:lineRule="exact"/>
              <w:ind w:left="0" w:right="0"/>
              <w:jc w:val="both"/>
              <w:textAlignment w:val="auto"/>
              <w:rPr>
                <w:rFonts w:hint="eastAsia" w:ascii="Times New Roman" w:hAnsi="Times New Roman" w:eastAsia="楷体" w:cs="楷体"/>
                <w:sz w:val="24"/>
                <w:szCs w:val="24"/>
              </w:rPr>
            </w:pPr>
            <w:r>
              <w:rPr>
                <w:rFonts w:hint="eastAsia" w:ascii="Times New Roman" w:hAnsi="Times New Roman" w:eastAsia="楷体" w:cs="楷体"/>
                <w:spacing w:val="8"/>
                <w:sz w:val="24"/>
                <w:szCs w:val="24"/>
                <w:lang w:eastAsia="zh-CN"/>
              </w:rPr>
              <w:t>（</w:t>
            </w:r>
            <w:r>
              <w:rPr>
                <w:rFonts w:hint="eastAsia" w:ascii="Times New Roman" w:hAnsi="Times New Roman" w:eastAsia="楷体" w:cs="楷体"/>
                <w:spacing w:val="8"/>
                <w:sz w:val="24"/>
                <w:szCs w:val="24"/>
                <w:lang w:val="en-US" w:eastAsia="zh-CN"/>
              </w:rPr>
              <w:t>3</w:t>
            </w:r>
            <w:r>
              <w:rPr>
                <w:rFonts w:hint="eastAsia" w:ascii="Times New Roman" w:hAnsi="Times New Roman" w:eastAsia="楷体" w:cs="楷体"/>
                <w:spacing w:val="8"/>
                <w:sz w:val="24"/>
                <w:szCs w:val="24"/>
                <w:lang w:eastAsia="zh-CN"/>
              </w:rPr>
              <w:t>）</w:t>
            </w:r>
            <w:r>
              <w:rPr>
                <w:rFonts w:hint="eastAsia" w:ascii="Times New Roman" w:hAnsi="Times New Roman" w:eastAsia="楷体" w:cs="楷体"/>
                <w:spacing w:val="8"/>
                <w:sz w:val="24"/>
                <w:szCs w:val="24"/>
              </w:rPr>
              <w:t>发生跨境(包括港澳台地区)食品安全事故， 造成特别严重社会影响的；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lang w:val="en-US" w:eastAsia="zh-CN"/>
              </w:rPr>
              <w:t>4</w:t>
            </w: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rPr>
              <w:t>国务院认定需要由国务院或国务院授权有关部</w:t>
            </w:r>
            <w:r>
              <w:rPr>
                <w:rFonts w:hint="eastAsia" w:ascii="Times New Roman" w:hAnsi="Times New Roman" w:eastAsia="楷体" w:cs="楷体"/>
                <w:spacing w:val="12"/>
                <w:sz w:val="24"/>
                <w:szCs w:val="24"/>
              </w:rPr>
              <w:t xml:space="preserve"> </w:t>
            </w:r>
            <w:r>
              <w:rPr>
                <w:rFonts w:hint="eastAsia" w:ascii="Times New Roman" w:hAnsi="Times New Roman" w:eastAsia="楷体" w:cs="楷体"/>
                <w:spacing w:val="17"/>
                <w:sz w:val="24"/>
                <w:szCs w:val="24"/>
              </w:rPr>
              <w:t>门负责处置的。</w:t>
            </w:r>
          </w:p>
        </w:tc>
        <w:tc>
          <w:tcPr>
            <w:tcW w:w="18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4"/>
                <w:sz w:val="24"/>
                <w:szCs w:val="24"/>
              </w:rPr>
              <w:t>国务院</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1"/>
                <w:sz w:val="24"/>
                <w:szCs w:val="24"/>
              </w:rPr>
              <w:t>启动Ⅰ级响应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159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5"/>
                <w:sz w:val="24"/>
                <w:szCs w:val="24"/>
              </w:rPr>
              <w:t>重大食品安</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3"/>
                <w:sz w:val="24"/>
                <w:szCs w:val="24"/>
              </w:rPr>
              <w:t>全事故</w:t>
            </w:r>
          </w:p>
        </w:tc>
        <w:tc>
          <w:tcPr>
            <w:tcW w:w="55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6"/>
                <w:sz w:val="24"/>
                <w:szCs w:val="24"/>
                <w:lang w:eastAsia="zh-CN"/>
              </w:rPr>
              <w:t>（</w:t>
            </w:r>
            <w:r>
              <w:rPr>
                <w:rFonts w:hint="eastAsia" w:ascii="Times New Roman" w:hAnsi="Times New Roman" w:eastAsia="楷体" w:cs="楷体"/>
                <w:spacing w:val="6"/>
                <w:sz w:val="24"/>
                <w:szCs w:val="24"/>
                <w:lang w:val="en-US" w:eastAsia="zh-CN"/>
              </w:rPr>
              <w:t>1</w:t>
            </w:r>
            <w:r>
              <w:rPr>
                <w:rFonts w:hint="eastAsia" w:ascii="Times New Roman" w:hAnsi="Times New Roman" w:eastAsia="楷体" w:cs="楷体"/>
                <w:spacing w:val="6"/>
                <w:sz w:val="24"/>
                <w:szCs w:val="24"/>
                <w:lang w:eastAsia="zh-CN"/>
              </w:rPr>
              <w:t>）</w:t>
            </w:r>
            <w:r>
              <w:rPr>
                <w:rFonts w:hint="eastAsia" w:ascii="Times New Roman" w:hAnsi="Times New Roman" w:eastAsia="楷体" w:cs="楷体"/>
                <w:spacing w:val="6"/>
                <w:sz w:val="24"/>
                <w:szCs w:val="24"/>
              </w:rPr>
              <w:t>事故危害严重，影响范围涉及自治区内2个以</w:t>
            </w:r>
            <w:r>
              <w:rPr>
                <w:rFonts w:hint="eastAsia" w:ascii="Times New Roman" w:hAnsi="Times New Roman" w:eastAsia="楷体" w:cs="楷体"/>
                <w:spacing w:val="2"/>
                <w:sz w:val="24"/>
                <w:szCs w:val="24"/>
              </w:rPr>
              <w:t xml:space="preserve"> </w:t>
            </w:r>
            <w:r>
              <w:rPr>
                <w:rFonts w:hint="eastAsia" w:ascii="Times New Roman" w:hAnsi="Times New Roman" w:eastAsia="楷体" w:cs="楷体"/>
                <w:spacing w:val="11"/>
                <w:sz w:val="24"/>
                <w:szCs w:val="24"/>
              </w:rPr>
              <w:t>上设区市行政区域的；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8"/>
                <w:sz w:val="24"/>
                <w:szCs w:val="24"/>
                <w:lang w:eastAsia="zh-CN"/>
              </w:rPr>
              <w:t>（</w:t>
            </w:r>
            <w:r>
              <w:rPr>
                <w:rFonts w:hint="eastAsia" w:ascii="Times New Roman" w:hAnsi="Times New Roman" w:eastAsia="楷体" w:cs="楷体"/>
                <w:spacing w:val="8"/>
                <w:sz w:val="24"/>
                <w:szCs w:val="24"/>
                <w:lang w:val="en-US" w:eastAsia="zh-CN"/>
              </w:rPr>
              <w:t>2</w:t>
            </w:r>
            <w:r>
              <w:rPr>
                <w:rFonts w:hint="eastAsia" w:ascii="Times New Roman" w:hAnsi="Times New Roman" w:eastAsia="楷体" w:cs="楷体"/>
                <w:spacing w:val="8"/>
                <w:sz w:val="24"/>
                <w:szCs w:val="24"/>
                <w:lang w:eastAsia="zh-CN"/>
              </w:rPr>
              <w:t>）</w:t>
            </w:r>
            <w:r>
              <w:rPr>
                <w:rFonts w:hint="eastAsia" w:ascii="Times New Roman" w:hAnsi="Times New Roman" w:eastAsia="楷体" w:cs="楷体"/>
                <w:spacing w:val="8"/>
                <w:sz w:val="24"/>
                <w:szCs w:val="24"/>
              </w:rPr>
              <w:t>1起食物中毒事件中毒人数100人以</w:t>
            </w:r>
            <w:r>
              <w:rPr>
                <w:rFonts w:hint="eastAsia" w:ascii="Times New Roman" w:hAnsi="Times New Roman" w:eastAsia="楷体" w:cs="楷体"/>
                <w:spacing w:val="7"/>
                <w:sz w:val="24"/>
                <w:szCs w:val="24"/>
              </w:rPr>
              <w:t>上，并出</w:t>
            </w:r>
            <w:r>
              <w:rPr>
                <w:rFonts w:hint="eastAsia" w:ascii="Times New Roman" w:hAnsi="Times New Roman" w:eastAsia="楷体" w:cs="楷体"/>
                <w:sz w:val="24"/>
                <w:szCs w:val="24"/>
              </w:rPr>
              <w:t xml:space="preserve"> </w:t>
            </w:r>
            <w:r>
              <w:rPr>
                <w:rFonts w:hint="eastAsia" w:ascii="Times New Roman" w:hAnsi="Times New Roman" w:eastAsia="楷体" w:cs="楷体"/>
                <w:spacing w:val="19"/>
                <w:sz w:val="24"/>
                <w:szCs w:val="24"/>
              </w:rPr>
              <w:t>现死亡病例；</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6"/>
                <w:sz w:val="24"/>
                <w:szCs w:val="24"/>
                <w:lang w:eastAsia="zh-CN"/>
              </w:rPr>
              <w:t>（</w:t>
            </w:r>
            <w:r>
              <w:rPr>
                <w:rFonts w:hint="eastAsia" w:ascii="Times New Roman" w:hAnsi="Times New Roman" w:eastAsia="楷体" w:cs="楷体"/>
                <w:spacing w:val="6"/>
                <w:sz w:val="24"/>
                <w:szCs w:val="24"/>
                <w:lang w:val="en-US" w:eastAsia="zh-CN"/>
              </w:rPr>
              <w:t>3</w:t>
            </w:r>
            <w:r>
              <w:rPr>
                <w:rFonts w:hint="eastAsia" w:ascii="Times New Roman" w:hAnsi="Times New Roman" w:eastAsia="楷体" w:cs="楷体"/>
                <w:spacing w:val="6"/>
                <w:sz w:val="24"/>
                <w:szCs w:val="24"/>
                <w:lang w:eastAsia="zh-CN"/>
              </w:rPr>
              <w:t>）</w:t>
            </w:r>
            <w:r>
              <w:rPr>
                <w:rFonts w:hint="eastAsia" w:ascii="Times New Roman" w:hAnsi="Times New Roman" w:eastAsia="楷体" w:cs="楷体"/>
                <w:spacing w:val="6"/>
                <w:sz w:val="24"/>
                <w:szCs w:val="24"/>
              </w:rPr>
              <w:t>1起食品中毒事故造成10例以上死亡病例的；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lang w:val="en-US" w:eastAsia="zh-CN"/>
              </w:rPr>
              <w:t>4</w:t>
            </w: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rPr>
              <w:t>自治区人民政府认定的重大食品安全事故。</w:t>
            </w:r>
          </w:p>
        </w:tc>
        <w:tc>
          <w:tcPr>
            <w:tcW w:w="18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1"/>
                <w:position w:val="26"/>
                <w:sz w:val="24"/>
                <w:szCs w:val="24"/>
              </w:rPr>
              <w:t>自治区人民政府</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sz w:val="24"/>
                <w:szCs w:val="24"/>
              </w:rPr>
              <w:t>启动</w:t>
            </w:r>
            <w:r>
              <w:rPr>
                <w:rFonts w:hint="eastAsia" w:ascii="Times New Roman" w:hAnsi="Times New Roman" w:eastAsia="楷体" w:cs="楷体"/>
                <w:spacing w:val="1"/>
                <w:sz w:val="24"/>
                <w:szCs w:val="24"/>
              </w:rPr>
              <w:t>Ⅱ</w:t>
            </w:r>
            <w:r>
              <w:rPr>
                <w:rFonts w:hint="eastAsia" w:ascii="Times New Roman" w:hAnsi="Times New Roman" w:eastAsia="楷体" w:cs="楷体"/>
                <w:spacing w:val="2"/>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59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6"/>
                <w:sz w:val="24"/>
                <w:szCs w:val="24"/>
              </w:rPr>
              <w:t>较大食品安</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3"/>
                <w:sz w:val="24"/>
                <w:szCs w:val="24"/>
              </w:rPr>
              <w:t>全事故</w:t>
            </w:r>
          </w:p>
        </w:tc>
        <w:tc>
          <w:tcPr>
            <w:tcW w:w="5553" w:type="dxa"/>
            <w:vAlign w:val="top"/>
          </w:tcPr>
          <w:p>
            <w:pPr>
              <w:keepNext w:val="0"/>
              <w:keepLines w:val="0"/>
              <w:pageBreakBefore w:val="0"/>
              <w:widowControl w:val="0"/>
              <w:kinsoku/>
              <w:wordWrap/>
              <w:overflowPunct/>
              <w:topLinePunct w:val="0"/>
              <w:bidi w:val="0"/>
              <w:spacing w:line="560" w:lineRule="exact"/>
              <w:ind w:left="0" w:right="0" w:firstLine="19"/>
              <w:textAlignment w:val="auto"/>
              <w:rPr>
                <w:rFonts w:hint="eastAsia" w:ascii="Times New Roman" w:hAnsi="Times New Roman" w:eastAsia="楷体" w:cs="楷体"/>
                <w:sz w:val="24"/>
                <w:szCs w:val="24"/>
              </w:rPr>
            </w:pPr>
            <w:r>
              <w:rPr>
                <w:rFonts w:hint="eastAsia" w:ascii="Times New Roman" w:hAnsi="Times New Roman" w:eastAsia="楷体" w:cs="楷体"/>
                <w:spacing w:val="4"/>
                <w:sz w:val="24"/>
                <w:szCs w:val="24"/>
                <w:lang w:eastAsia="zh-CN"/>
              </w:rPr>
              <w:t>（</w:t>
            </w:r>
            <w:r>
              <w:rPr>
                <w:rFonts w:hint="eastAsia" w:ascii="Times New Roman" w:hAnsi="Times New Roman" w:eastAsia="楷体" w:cs="楷体"/>
                <w:spacing w:val="4"/>
                <w:sz w:val="24"/>
                <w:szCs w:val="24"/>
                <w:lang w:val="en-US" w:eastAsia="zh-CN"/>
              </w:rPr>
              <w:t>1</w:t>
            </w:r>
            <w:r>
              <w:rPr>
                <w:rFonts w:hint="eastAsia" w:ascii="Times New Roman" w:hAnsi="Times New Roman" w:eastAsia="楷体" w:cs="楷体"/>
                <w:spacing w:val="4"/>
                <w:sz w:val="24"/>
                <w:szCs w:val="24"/>
                <w:lang w:eastAsia="zh-CN"/>
              </w:rPr>
              <w:t>）</w:t>
            </w:r>
            <w:r>
              <w:rPr>
                <w:rFonts w:hint="eastAsia" w:ascii="Times New Roman" w:hAnsi="Times New Roman" w:eastAsia="楷体" w:cs="楷体"/>
                <w:spacing w:val="4"/>
                <w:sz w:val="24"/>
                <w:szCs w:val="24"/>
              </w:rPr>
              <w:t xml:space="preserve">事故影响范围涉及设区市级行政区域内2个以 </w:t>
            </w:r>
            <w:r>
              <w:rPr>
                <w:rFonts w:hint="eastAsia" w:ascii="Times New Roman" w:hAnsi="Times New Roman" w:eastAsia="楷体" w:cs="楷体"/>
                <w:sz w:val="24"/>
                <w:szCs w:val="24"/>
              </w:rPr>
              <w:t>上旗县级行政区域，给人民群众饮食安全带来严重</w:t>
            </w:r>
            <w:r>
              <w:rPr>
                <w:rFonts w:hint="eastAsia" w:ascii="Times New Roman" w:hAnsi="Times New Roman" w:eastAsia="楷体" w:cs="楷体"/>
                <w:spacing w:val="28"/>
                <w:sz w:val="24"/>
                <w:szCs w:val="24"/>
              </w:rPr>
              <w:t>危害的</w:t>
            </w:r>
            <w:r>
              <w:rPr>
                <w:rFonts w:hint="eastAsia" w:ascii="Times New Roman" w:hAnsi="Times New Roman" w:eastAsia="楷体" w:cs="楷体"/>
                <w:spacing w:val="-57"/>
                <w:sz w:val="24"/>
                <w:szCs w:val="24"/>
              </w:rPr>
              <w:t xml:space="preserve"> </w:t>
            </w:r>
            <w:r>
              <w:rPr>
                <w:rFonts w:hint="eastAsia" w:ascii="Times New Roman" w:hAnsi="Times New Roman" w:eastAsia="楷体" w:cs="楷体"/>
                <w:spacing w:val="28"/>
                <w:sz w:val="24"/>
                <w:szCs w:val="24"/>
              </w:rPr>
              <w:t>；</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7"/>
                <w:sz w:val="24"/>
                <w:szCs w:val="24"/>
                <w:lang w:eastAsia="zh-CN"/>
              </w:rPr>
              <w:t>（</w:t>
            </w:r>
            <w:r>
              <w:rPr>
                <w:rFonts w:hint="eastAsia" w:ascii="Times New Roman" w:hAnsi="Times New Roman" w:eastAsia="楷体" w:cs="楷体"/>
                <w:spacing w:val="7"/>
                <w:sz w:val="24"/>
                <w:szCs w:val="24"/>
                <w:lang w:val="en-US" w:eastAsia="zh-CN"/>
              </w:rPr>
              <w:t>2</w:t>
            </w:r>
            <w:r>
              <w:rPr>
                <w:rFonts w:hint="eastAsia" w:ascii="Times New Roman" w:hAnsi="Times New Roman" w:eastAsia="楷体" w:cs="楷体"/>
                <w:spacing w:val="7"/>
                <w:sz w:val="24"/>
                <w:szCs w:val="24"/>
                <w:lang w:eastAsia="zh-CN"/>
              </w:rPr>
              <w:t>）</w:t>
            </w:r>
            <w:r>
              <w:rPr>
                <w:rFonts w:hint="eastAsia" w:ascii="Times New Roman" w:hAnsi="Times New Roman" w:eastAsia="楷体" w:cs="楷体"/>
                <w:spacing w:val="7"/>
                <w:sz w:val="24"/>
                <w:szCs w:val="24"/>
              </w:rPr>
              <w:t>1起食物中毒事故中毒人数在100人以上；或</w:t>
            </w:r>
            <w:r>
              <w:rPr>
                <w:rFonts w:hint="eastAsia" w:ascii="Times New Roman" w:hAnsi="Times New Roman" w:eastAsia="楷体" w:cs="楷体"/>
                <w:spacing w:val="14"/>
                <w:sz w:val="24"/>
                <w:szCs w:val="24"/>
              </w:rPr>
              <w:t>出现死亡病例的；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lang w:val="en-US" w:eastAsia="zh-CN"/>
              </w:rPr>
              <w:t>3</w:t>
            </w: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rPr>
              <w:t>市级以上人民政府认定的其他较大食品安全事</w:t>
            </w:r>
            <w:r>
              <w:rPr>
                <w:rFonts w:hint="eastAsia" w:ascii="Times New Roman" w:hAnsi="Times New Roman" w:eastAsia="楷体" w:cs="楷体"/>
                <w:spacing w:val="-7"/>
                <w:sz w:val="24"/>
                <w:szCs w:val="24"/>
              </w:rPr>
              <w:t>故。</w:t>
            </w:r>
          </w:p>
        </w:tc>
        <w:tc>
          <w:tcPr>
            <w:tcW w:w="18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6"/>
                <w:sz w:val="24"/>
                <w:szCs w:val="24"/>
              </w:rPr>
              <w:t>市人民政府</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sz w:val="24"/>
                <w:szCs w:val="24"/>
              </w:rPr>
              <w:t>启动</w:t>
            </w:r>
            <w:r>
              <w:rPr>
                <w:rFonts w:hint="eastAsia" w:ascii="Times New Roman" w:hAnsi="Times New Roman" w:eastAsia="楷体" w:cs="楷体"/>
                <w:spacing w:val="1"/>
                <w:sz w:val="24"/>
                <w:szCs w:val="24"/>
              </w:rPr>
              <w:t>Ⅲ</w:t>
            </w:r>
            <w:r>
              <w:rPr>
                <w:rFonts w:hint="eastAsia" w:ascii="Times New Roman" w:hAnsi="Times New Roman" w:eastAsia="楷体" w:cs="楷体"/>
                <w:spacing w:val="2"/>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159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5"/>
                <w:sz w:val="24"/>
                <w:szCs w:val="24"/>
              </w:rPr>
              <w:t>一般食品安</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3"/>
                <w:sz w:val="24"/>
                <w:szCs w:val="24"/>
              </w:rPr>
              <w:t>全事故</w:t>
            </w:r>
          </w:p>
        </w:tc>
        <w:tc>
          <w:tcPr>
            <w:tcW w:w="55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lang w:val="en-US" w:eastAsia="zh-CN"/>
              </w:rPr>
              <w:t>1</w:t>
            </w:r>
            <w:r>
              <w:rPr>
                <w:rFonts w:hint="eastAsia" w:ascii="Times New Roman" w:hAnsi="Times New Roman" w:eastAsia="楷体" w:cs="楷体"/>
                <w:spacing w:val="5"/>
                <w:sz w:val="24"/>
                <w:szCs w:val="24"/>
                <w:lang w:eastAsia="zh-CN"/>
              </w:rPr>
              <w:t>）</w:t>
            </w:r>
            <w:r>
              <w:rPr>
                <w:rFonts w:hint="eastAsia" w:ascii="Times New Roman" w:hAnsi="Times New Roman" w:eastAsia="楷体" w:cs="楷体"/>
                <w:spacing w:val="5"/>
                <w:sz w:val="24"/>
                <w:szCs w:val="24"/>
              </w:rPr>
              <w:t>食品污染已造成严重健康损害后果的；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7"/>
                <w:sz w:val="24"/>
                <w:szCs w:val="24"/>
                <w:lang w:eastAsia="zh-CN"/>
              </w:rPr>
              <w:t>（</w:t>
            </w:r>
            <w:r>
              <w:rPr>
                <w:rFonts w:hint="eastAsia" w:ascii="Times New Roman" w:hAnsi="Times New Roman" w:eastAsia="楷体" w:cs="楷体"/>
                <w:spacing w:val="7"/>
                <w:sz w:val="24"/>
                <w:szCs w:val="24"/>
                <w:lang w:val="en-US" w:eastAsia="zh-CN"/>
              </w:rPr>
              <w:t>2</w:t>
            </w:r>
            <w:r>
              <w:rPr>
                <w:rFonts w:hint="eastAsia" w:ascii="Times New Roman" w:hAnsi="Times New Roman" w:eastAsia="楷体" w:cs="楷体"/>
                <w:spacing w:val="7"/>
                <w:sz w:val="24"/>
                <w:szCs w:val="24"/>
                <w:lang w:eastAsia="zh-CN"/>
              </w:rPr>
              <w:t>）</w:t>
            </w:r>
            <w:r>
              <w:rPr>
                <w:rFonts w:hint="eastAsia" w:ascii="Times New Roman" w:hAnsi="Times New Roman" w:eastAsia="楷体" w:cs="楷体"/>
                <w:spacing w:val="7"/>
                <w:sz w:val="24"/>
                <w:szCs w:val="24"/>
              </w:rPr>
              <w:t>1起食物中毒事故中毒人数在99人以下，且未</w:t>
            </w:r>
            <w:r>
              <w:rPr>
                <w:rFonts w:hint="eastAsia" w:ascii="Times New Roman" w:hAnsi="Times New Roman" w:eastAsia="楷体" w:cs="楷体"/>
                <w:spacing w:val="14"/>
                <w:sz w:val="24"/>
                <w:szCs w:val="24"/>
              </w:rPr>
              <w:t>出现死亡病例的；</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lang w:val="en-US" w:eastAsia="zh-CN"/>
              </w:rPr>
              <w:t>3</w:t>
            </w:r>
            <w:r>
              <w:rPr>
                <w:rFonts w:hint="eastAsia" w:ascii="Times New Roman" w:hAnsi="Times New Roman" w:eastAsia="楷体" w:cs="楷体"/>
                <w:sz w:val="24"/>
                <w:szCs w:val="24"/>
                <w:lang w:eastAsia="zh-CN"/>
              </w:rPr>
              <w:t>）</w:t>
            </w:r>
            <w:r>
              <w:rPr>
                <w:rFonts w:hint="eastAsia" w:ascii="Times New Roman" w:hAnsi="Times New Roman" w:eastAsia="楷体" w:cs="楷体"/>
                <w:sz w:val="24"/>
                <w:szCs w:val="24"/>
              </w:rPr>
              <w:t>旗县级以上人民政府认定的其他一般食品安全</w:t>
            </w:r>
            <w:r>
              <w:rPr>
                <w:rFonts w:hint="eastAsia" w:ascii="Times New Roman" w:hAnsi="Times New Roman" w:eastAsia="楷体" w:cs="楷体"/>
                <w:spacing w:val="-8"/>
                <w:sz w:val="24"/>
                <w:szCs w:val="24"/>
              </w:rPr>
              <w:t>事</w:t>
            </w:r>
            <w:r>
              <w:rPr>
                <w:rFonts w:hint="eastAsia" w:ascii="Times New Roman" w:hAnsi="Times New Roman" w:eastAsia="楷体" w:cs="楷体"/>
                <w:spacing w:val="-25"/>
                <w:sz w:val="24"/>
                <w:szCs w:val="24"/>
              </w:rPr>
              <w:t xml:space="preserve"> </w:t>
            </w:r>
            <w:r>
              <w:rPr>
                <w:rFonts w:hint="eastAsia" w:ascii="Times New Roman" w:hAnsi="Times New Roman" w:eastAsia="楷体" w:cs="楷体"/>
                <w:spacing w:val="-8"/>
                <w:sz w:val="24"/>
                <w:szCs w:val="24"/>
              </w:rPr>
              <w:t>故</w:t>
            </w:r>
            <w:r>
              <w:rPr>
                <w:rFonts w:hint="eastAsia" w:ascii="Times New Roman" w:hAnsi="Times New Roman" w:eastAsia="楷体" w:cs="楷体"/>
                <w:spacing w:val="-38"/>
                <w:sz w:val="24"/>
                <w:szCs w:val="24"/>
              </w:rPr>
              <w:t xml:space="preserve"> </w:t>
            </w:r>
            <w:r>
              <w:rPr>
                <w:rFonts w:hint="eastAsia" w:ascii="Times New Roman" w:hAnsi="Times New Roman" w:eastAsia="楷体" w:cs="楷体"/>
                <w:spacing w:val="-8"/>
                <w:sz w:val="24"/>
                <w:szCs w:val="24"/>
              </w:rPr>
              <w:t>。</w:t>
            </w:r>
          </w:p>
        </w:tc>
        <w:tc>
          <w:tcPr>
            <w:tcW w:w="1853" w:type="dxa"/>
            <w:vAlign w:val="top"/>
          </w:tcPr>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position w:val="25"/>
                <w:sz w:val="24"/>
                <w:szCs w:val="24"/>
              </w:rPr>
              <w:t>旗县区人民政府</w:t>
            </w:r>
          </w:p>
          <w:p>
            <w:pPr>
              <w:keepNext w:val="0"/>
              <w:keepLines w:val="0"/>
              <w:pageBreakBefore w:val="0"/>
              <w:widowControl w:val="0"/>
              <w:kinsoku/>
              <w:wordWrap/>
              <w:overflowPunct/>
              <w:topLinePunct w:val="0"/>
              <w:bidi w:val="0"/>
              <w:spacing w:line="560" w:lineRule="exact"/>
              <w:ind w:left="0" w:right="0"/>
              <w:textAlignment w:val="auto"/>
              <w:rPr>
                <w:rFonts w:hint="eastAsia" w:ascii="Times New Roman" w:hAnsi="Times New Roman" w:eastAsia="楷体" w:cs="楷体"/>
                <w:sz w:val="24"/>
                <w:szCs w:val="24"/>
              </w:rPr>
            </w:pPr>
            <w:r>
              <w:rPr>
                <w:rFonts w:hint="eastAsia" w:ascii="Times New Roman" w:hAnsi="Times New Roman" w:eastAsia="楷体" w:cs="楷体"/>
                <w:spacing w:val="2"/>
                <w:sz w:val="24"/>
                <w:szCs w:val="24"/>
              </w:rPr>
              <w:t>启动</w:t>
            </w:r>
            <w:r>
              <w:rPr>
                <w:rFonts w:hint="eastAsia" w:ascii="Times New Roman" w:hAnsi="Times New Roman" w:eastAsia="楷体" w:cs="楷体"/>
                <w:spacing w:val="1"/>
                <w:sz w:val="24"/>
                <w:szCs w:val="24"/>
              </w:rPr>
              <w:t>Ⅳ</w:t>
            </w:r>
            <w:r>
              <w:rPr>
                <w:rFonts w:hint="eastAsia" w:ascii="Times New Roman" w:hAnsi="Times New Roman" w:eastAsia="楷体" w:cs="楷体"/>
                <w:spacing w:val="2"/>
                <w:sz w:val="24"/>
                <w:szCs w:val="24"/>
              </w:rPr>
              <w:t>级响应</w:t>
            </w:r>
          </w:p>
        </w:tc>
      </w:tr>
    </w:tbl>
    <w:p>
      <w:pPr>
        <w:keepNext w:val="0"/>
        <w:keepLines w:val="0"/>
        <w:pageBreakBefore w:val="0"/>
        <w:widowControl w:val="0"/>
        <w:kinsoku/>
        <w:wordWrap/>
        <w:overflowPunct/>
        <w:topLinePunct w:val="0"/>
        <w:bidi w:val="0"/>
        <w:spacing w:line="560" w:lineRule="exact"/>
        <w:ind w:left="0" w:right="0"/>
        <w:textAlignment w:val="auto"/>
        <w:rPr>
          <w:rFonts w:ascii="Times New Roman" w:hAnsi="Times New Roman"/>
        </w:rPr>
        <w:sectPr>
          <w:footerReference r:id="rId5" w:type="default"/>
          <w:pgSz w:w="11920" w:h="16800"/>
          <w:pgMar w:top="2098" w:right="1474" w:bottom="1984" w:left="1587" w:header="0" w:footer="1465" w:gutter="0"/>
          <w:pgNumType w:fmt="decimal" w:start="2"/>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Times New Roman" w:hAnsi="Times New Roman" w:eastAsia="黑体" w:cs="Times New Roman"/>
          <w:snapToGrid/>
          <w:kern w:val="2"/>
          <w:sz w:val="32"/>
          <w:szCs w:val="32"/>
          <w:lang w:val="en-US" w:eastAsia="zh-CN" w:bidi="ar-SA"/>
        </w:rPr>
      </w:pPr>
      <w:r>
        <w:rPr>
          <w:rFonts w:hint="eastAsia" w:ascii="Times New Roman" w:hAnsi="Times New Roman" w:eastAsia="黑体" w:cs="Times New Roman"/>
          <w:snapToGrid/>
          <w:kern w:val="2"/>
          <w:sz w:val="32"/>
          <w:szCs w:val="32"/>
          <w:lang w:val="en-US" w:eastAsia="zh-CN" w:bidi="ar-SA"/>
        </w:rPr>
        <w:t>附件2</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textAlignment w:val="auto"/>
        <w:rPr>
          <w:rFonts w:ascii="Times New Roman" w:hAnsi="Times New Roman"/>
          <w:sz w:val="21"/>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lang w:val="en-US" w:eastAsia="zh-CN"/>
        </w:rPr>
        <w:t>区</w:t>
      </w:r>
      <w:r>
        <w:rPr>
          <w:rFonts w:hint="eastAsia" w:ascii="方正小标宋简体" w:hAnsi="方正小标宋简体" w:eastAsia="方正小标宋简体" w:cs="方正小标宋简体"/>
          <w:b w:val="0"/>
          <w:bCs w:val="0"/>
          <w:spacing w:val="-12"/>
          <w:sz w:val="44"/>
          <w:szCs w:val="44"/>
        </w:rPr>
        <w:t>食品应急指挥部成员单位职责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textAlignment w:val="auto"/>
        <w:rPr>
          <w:rFonts w:ascii="Times New Roman" w:hAnsi="Times New Roman"/>
          <w:sz w:val="21"/>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食品药品安全委员会办公室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食品应急指挥部办公室日常工作，落实办公室各项职责。组织、指导、监督、协调食品安全事故处置及责任调查处理工作。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sz w:val="32"/>
          <w:szCs w:val="32"/>
        </w:rPr>
        <w:t>负责信息发布方案的制定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食品应急指挥部要求，组织协调较大食品安全事故的新闻信息发布和舆论引导。负责受理事故发生现场记者采访申请和管理，指导查处食品安全虚假新闻。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民族事务委员会：</w:t>
      </w:r>
      <w:r>
        <w:rPr>
          <w:rFonts w:hint="eastAsia" w:ascii="仿宋_GB2312" w:hAnsi="仿宋_GB2312" w:eastAsia="仿宋_GB2312" w:cs="仿宋_GB2312"/>
          <w:sz w:val="32"/>
          <w:szCs w:val="32"/>
        </w:rPr>
        <w:t>配合食品安全监管部门做好清真食品生产经营企业的相关工作。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区网络安全应急指挥中心：</w:t>
      </w:r>
      <w:r>
        <w:rPr>
          <w:rFonts w:hint="eastAsia" w:ascii="仿宋_GB2312" w:hAnsi="仿宋_GB2312" w:eastAsia="仿宋_GB2312" w:cs="仿宋_GB2312"/>
          <w:sz w:val="32"/>
          <w:szCs w:val="32"/>
        </w:rPr>
        <w:t>负责对加强互联网信息管理和舆论引导。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卫生健康委：</w:t>
      </w:r>
      <w:r>
        <w:rPr>
          <w:rFonts w:hint="eastAsia" w:ascii="仿宋_GB2312" w:hAnsi="仿宋_GB2312" w:eastAsia="仿宋_GB2312" w:cs="仿宋_GB2312"/>
          <w:sz w:val="32"/>
          <w:szCs w:val="32"/>
        </w:rPr>
        <w:t>负责组织开展食品安全事故的流行病学调 查、医疗救治，会同食品安全监管部门开展相关监测和风险评估等工作，提出评价结论。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区农牧水利</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负责食用农畜产品、水产品、生鲜乳从种植(养殖)环节到进入批发、零售市场或生产加工企业前食品安全事故的应急处置、技术鉴定和风险评估等工作。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sz w:val="32"/>
          <w:szCs w:val="32"/>
        </w:rPr>
        <w:t>负责食品生产经营环节食品安全事故的应对处置、违法行为调查处理和相关技术鉴定等工作；负责食品包装材料、包装容器造成的安全事故中违法行为的调查处理，并依法采取必要的应对处置措施。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b w:val="0"/>
          <w:bCs w:val="0"/>
          <w:sz w:val="32"/>
          <w:szCs w:val="32"/>
          <w:lang w:val="en-US" w:eastAsia="zh-CN"/>
        </w:rPr>
        <w:t>辖区内市级</w:t>
      </w:r>
      <w:r>
        <w:rPr>
          <w:rFonts w:hint="eastAsia" w:ascii="仿宋_GB2312" w:hAnsi="仿宋_GB2312" w:eastAsia="仿宋_GB2312" w:cs="仿宋_GB2312"/>
          <w:sz w:val="32"/>
          <w:szCs w:val="32"/>
        </w:rPr>
        <w:t>储备粮油收购、储存过程中发生的粮食质量安全事故的应急处置和案件的调查处理。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lang w:val="en-US" w:eastAsia="zh-CN"/>
        </w:rPr>
        <w:t>分</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负责调查因环境污染造成食品安全事故的环境违法行为；依法对造成食品安全事故的环境违法行为作出行政处罚。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工业和信息化局：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协助政府</w:t>
      </w:r>
      <w:r>
        <w:rPr>
          <w:rFonts w:hint="eastAsia" w:ascii="仿宋_GB2312" w:hAnsi="仿宋_GB2312" w:eastAsia="仿宋_GB2312" w:cs="仿宋_GB2312"/>
          <w:sz w:val="32"/>
          <w:szCs w:val="32"/>
        </w:rPr>
        <w:t>食盐</w:t>
      </w:r>
      <w:r>
        <w:rPr>
          <w:rFonts w:hint="eastAsia" w:ascii="仿宋_GB2312" w:hAnsi="仿宋_GB2312" w:eastAsia="仿宋_GB2312" w:cs="仿宋_GB2312"/>
          <w:sz w:val="32"/>
          <w:szCs w:val="32"/>
          <w:lang w:eastAsia="zh-CN"/>
        </w:rPr>
        <w:t>储备安全</w:t>
      </w:r>
      <w:r>
        <w:rPr>
          <w:rFonts w:hint="eastAsia" w:ascii="仿宋_GB2312" w:hAnsi="仿宋_GB2312" w:eastAsia="仿宋_GB2312" w:cs="仿宋_GB2312"/>
          <w:sz w:val="32"/>
          <w:szCs w:val="32"/>
        </w:rPr>
        <w:t>事故的调查和应急处置；协助</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食品安全事故应急处置所需设备、装备及相关产品</w:t>
      </w:r>
      <w:r>
        <w:rPr>
          <w:rFonts w:hint="eastAsia" w:ascii="仿宋_GB2312" w:hAnsi="仿宋_GB2312" w:eastAsia="仿宋_GB2312" w:cs="仿宋_GB2312"/>
          <w:sz w:val="32"/>
          <w:szCs w:val="32"/>
          <w:lang w:eastAsia="zh-CN"/>
        </w:rPr>
        <w:t>生产能力的企业优先</w:t>
      </w:r>
      <w:r>
        <w:rPr>
          <w:rFonts w:hint="eastAsia" w:ascii="仿宋_GB2312" w:hAnsi="仿宋_GB2312" w:eastAsia="仿宋_GB2312" w:cs="仿宋_GB2312"/>
          <w:sz w:val="32"/>
          <w:szCs w:val="32"/>
        </w:rPr>
        <w:t>保障供给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负责做好食品安全事故应急救援所需重要生活必需品供应工作。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教育局：</w:t>
      </w:r>
      <w:r>
        <w:rPr>
          <w:rFonts w:hint="eastAsia" w:ascii="仿宋_GB2312" w:hAnsi="仿宋_GB2312" w:eastAsia="仿宋_GB2312" w:cs="仿宋_GB2312"/>
          <w:sz w:val="32"/>
          <w:szCs w:val="32"/>
        </w:rPr>
        <w:t>负责协助有关部门对学校食堂、学生在校集体用餐等造成的食品安全事故，开展应急处置和事故调查工作。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民政局：</w:t>
      </w:r>
      <w:r>
        <w:rPr>
          <w:rFonts w:hint="eastAsia" w:ascii="仿宋_GB2312" w:hAnsi="仿宋_GB2312" w:eastAsia="仿宋_GB2312" w:cs="仿宋_GB2312"/>
          <w:sz w:val="32"/>
          <w:szCs w:val="32"/>
        </w:rPr>
        <w:t>负责协助有关部门对养老机构、儿童福利院等食堂造成的食品安全事故，开展应急处置和事故调查；协助做好受食品安全事故影响造成人身伤害的意外事件，导致家庭基本生活出现暂时性困难的申请临时救助。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val="en-US" w:eastAsia="zh-CN"/>
        </w:rPr>
        <w:t>分</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负责指导、协调食品安全事故中涉嫌犯罪案件的侦办工作；配合调查重大食品安全事故，加强对食品安全事故现场治安管理工作，有效维护社会治安秩序。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财政局：</w:t>
      </w:r>
      <w:r>
        <w:rPr>
          <w:rFonts w:hint="eastAsia" w:ascii="仿宋_GB2312" w:hAnsi="仿宋_GB2312" w:eastAsia="仿宋_GB2312" w:cs="仿宋_GB2312"/>
          <w:sz w:val="32"/>
          <w:szCs w:val="32"/>
        </w:rPr>
        <w:t>负责食品安全事故应急处置等工作所需资金的保障和管理。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住房和城乡建设局：</w:t>
      </w:r>
      <w:r>
        <w:rPr>
          <w:rFonts w:hint="eastAsia" w:ascii="仿宋_GB2312" w:hAnsi="仿宋_GB2312" w:eastAsia="仿宋_GB2312" w:cs="仿宋_GB2312"/>
          <w:sz w:val="32"/>
          <w:szCs w:val="32"/>
        </w:rPr>
        <w:t>负责配合有关部门对房屋市政</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工地食堂</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rPr>
        <w:t>的食品安全事故开展事故调查工作。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城市管理综合执法局：</w:t>
      </w:r>
      <w:r>
        <w:rPr>
          <w:rFonts w:hint="eastAsia" w:ascii="仿宋_GB2312" w:hAnsi="仿宋_GB2312" w:eastAsia="仿宋_GB2312" w:cs="仿宋_GB2312"/>
          <w:sz w:val="32"/>
          <w:szCs w:val="32"/>
        </w:rPr>
        <w:t>负责协助有关部门对非法占用公共道路等公共场地从事经营活动的食品摊贩经营食品造成的食品安全事故，进行应急处置工作。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文</w:t>
      </w:r>
      <w:r>
        <w:rPr>
          <w:rFonts w:hint="eastAsia" w:ascii="仿宋_GB2312" w:hAnsi="仿宋_GB2312" w:eastAsia="仿宋_GB2312" w:cs="仿宋_GB2312"/>
          <w:b/>
          <w:bCs/>
          <w:sz w:val="32"/>
          <w:szCs w:val="32"/>
          <w:lang w:val="en-US" w:eastAsia="zh-CN"/>
        </w:rPr>
        <w:t>体</w:t>
      </w:r>
      <w:r>
        <w:rPr>
          <w:rFonts w:hint="eastAsia" w:ascii="仿宋_GB2312" w:hAnsi="仿宋_GB2312" w:eastAsia="仿宋_GB2312" w:cs="仿宋_GB2312"/>
          <w:b/>
          <w:bCs/>
          <w:sz w:val="32"/>
          <w:szCs w:val="32"/>
        </w:rPr>
        <w:t>旅游广电局：</w:t>
      </w:r>
      <w:r>
        <w:rPr>
          <w:rFonts w:hint="eastAsia" w:ascii="仿宋_GB2312" w:hAnsi="仿宋_GB2312" w:eastAsia="仿宋_GB2312" w:cs="仿宋_GB2312"/>
          <w:sz w:val="32"/>
          <w:szCs w:val="32"/>
        </w:rPr>
        <w:t>负责协助有关部门对涉及旅游的食品安全事故进行应急处置和事故调查。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lang w:val="en-US" w:eastAsia="zh-CN"/>
        </w:rPr>
        <w:t>攸攸板镇人民政府、各街道办事处、阿拉善北路区域服务中心：</w:t>
      </w:r>
      <w:r>
        <w:rPr>
          <w:rFonts w:hint="eastAsia" w:ascii="仿宋_GB2312" w:hAnsi="仿宋_GB2312" w:eastAsia="仿宋_GB2312" w:cs="仿宋_GB2312"/>
          <w:sz w:val="32"/>
          <w:szCs w:val="32"/>
        </w:rPr>
        <w:t>负责组织、指挥本行政区域内一般食品安全事故的应对处置工作和较大以上级别食品安全事故的先期处置工作。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根据食品安全事故应急处置工作需要，可增加其他部门作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textAlignment w:val="auto"/>
        <w:rPr>
          <w:rFonts w:hint="eastAsia"/>
          <w:sz w:val="32"/>
          <w:szCs w:val="32"/>
        </w:rPr>
        <w:sectPr>
          <w:footerReference r:id="rId6" w:type="default"/>
          <w:pgSz w:w="11920" w:h="16800"/>
          <w:pgMar w:top="2098" w:right="1474" w:bottom="1984" w:left="1587" w:header="0" w:footer="1229" w:gutter="0"/>
          <w:pgNumType w:fmt="decimal"/>
          <w:cols w:space="720" w:num="1"/>
        </w:sectPr>
      </w:pPr>
      <w:r>
        <w:rPr>
          <w:rFonts w:hint="eastAsia" w:ascii="仿宋_GB2312" w:hAnsi="仿宋_GB2312" w:eastAsia="仿宋_GB2312" w:cs="仿宋_GB2312"/>
          <w:sz w:val="32"/>
          <w:szCs w:val="32"/>
        </w:rPr>
        <w:t>为成员单位。</w:t>
      </w:r>
    </w:p>
    <w:p>
      <w:pPr>
        <w:pStyle w:val="4"/>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default" w:ascii="Times New Roman" w:hAnsi="Times New Roman" w:eastAsia="黑体" w:cs="Times New Roman"/>
          <w:snapToGrid/>
          <w:kern w:val="2"/>
          <w:sz w:val="32"/>
          <w:szCs w:val="32"/>
          <w:lang w:val="en-US" w:eastAsia="zh-CN" w:bidi="ar-SA"/>
        </w:rPr>
        <w:sectPr>
          <w:pgSz w:w="16800" w:h="11920" w:orient="landscape"/>
          <w:pgMar w:top="1489" w:right="1428" w:bottom="1610" w:left="1537" w:header="0" w:footer="1229" w:gutter="0"/>
          <w:pgNumType w:fmt="decimal"/>
          <w:cols w:space="720" w:num="1"/>
        </w:sectPr>
      </w:pPr>
      <w:r>
        <w:rPr>
          <w:rFonts w:hint="default" w:ascii="Times New Roman" w:hAnsi="Times New Roman" w:eastAsia="黑体" w:cs="Times New Roman"/>
          <w:snapToGrid/>
          <w:kern w:val="2"/>
          <w:sz w:val="32"/>
          <w:szCs w:val="32"/>
          <w:lang w:val="en-US" w:eastAsia="zh-CN" w:bidi="ar-SA"/>
        </w:rPr>
        <w:object>
          <v:shape id="_x0000_i1025" o:spt="75" type="#_x0000_t75" style="height:481.45pt;width:670.25pt;" o:ole="t" filled="f" o:preferrelative="t" stroked="f" coordsize="21600,21600">
            <v:path/>
            <v:fill on="f" focussize="0,0"/>
            <v:stroke on="f"/>
            <v:imagedata r:id="rId10" o:title=""/>
            <o:lock v:ext="edit" aspectratio="f"/>
            <w10:wrap type="none"/>
            <w10:anchorlock/>
          </v:shape>
          <o:OLEObject Type="Embed" ProgID="Word.Document.8" ShapeID="_x0000_i1025" DrawAspect="Content" ObjectID="_1468075725" r:id="rId9">
            <o:LockedField>false</o:LockedField>
          </o:OLEObject>
        </w:object>
      </w:r>
    </w:p>
    <w:p>
      <w:pPr>
        <w:keepNext w:val="0"/>
        <w:keepLines w:val="0"/>
        <w:pageBreakBefore w:val="0"/>
        <w:wordWrap/>
        <w:overflowPunct/>
        <w:topLinePunct w:val="0"/>
        <w:bidi w:val="0"/>
        <w:spacing w:line="560" w:lineRule="exact"/>
        <w:ind w:left="0" w:right="0"/>
        <w:jc w:val="left"/>
        <w:rPr>
          <w:rFonts w:hint="eastAsia"/>
          <w:lang w:eastAsia="zh-CN"/>
        </w:rPr>
      </w:pPr>
      <w:bookmarkStart w:id="0" w:name="_GoBack"/>
      <w:bookmarkEnd w:id="0"/>
    </w:p>
    <w:sectPr>
      <w:footerReference r:id="rId7" w:type="default"/>
      <w:pgSz w:w="11920" w:h="16800"/>
      <w:pgMar w:top="2098" w:right="1474" w:bottom="1984" w:left="1587" w:header="0" w:footer="12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Q2ZDRlM2ExZDRjNzliZjg1NTA3OTViMmZhNThlZjQifQ=="/>
  </w:docVars>
  <w:rsids>
    <w:rsidRoot w:val="00000000"/>
    <w:rsid w:val="002235CA"/>
    <w:rsid w:val="00977B14"/>
    <w:rsid w:val="01035780"/>
    <w:rsid w:val="0150DA2C"/>
    <w:rsid w:val="01787946"/>
    <w:rsid w:val="03253AFD"/>
    <w:rsid w:val="03CA0201"/>
    <w:rsid w:val="05341DD6"/>
    <w:rsid w:val="054A0438"/>
    <w:rsid w:val="0774295E"/>
    <w:rsid w:val="0781151E"/>
    <w:rsid w:val="07ED9B13"/>
    <w:rsid w:val="09A137B2"/>
    <w:rsid w:val="0A634F0B"/>
    <w:rsid w:val="0A747118"/>
    <w:rsid w:val="0B352404"/>
    <w:rsid w:val="0BEF6A57"/>
    <w:rsid w:val="0D3B3F1D"/>
    <w:rsid w:val="0D3B5CCB"/>
    <w:rsid w:val="0E611762"/>
    <w:rsid w:val="0ED87C76"/>
    <w:rsid w:val="0EE27ADE"/>
    <w:rsid w:val="0EF34AB0"/>
    <w:rsid w:val="0FD8F35F"/>
    <w:rsid w:val="11D72467"/>
    <w:rsid w:val="120D73F0"/>
    <w:rsid w:val="121511E1"/>
    <w:rsid w:val="123F000C"/>
    <w:rsid w:val="130678F0"/>
    <w:rsid w:val="130A21E9"/>
    <w:rsid w:val="13877EBC"/>
    <w:rsid w:val="13B741AE"/>
    <w:rsid w:val="13FD1F2D"/>
    <w:rsid w:val="14F450DE"/>
    <w:rsid w:val="159266A5"/>
    <w:rsid w:val="15C2342E"/>
    <w:rsid w:val="15D363DA"/>
    <w:rsid w:val="15DAA9AB"/>
    <w:rsid w:val="170652CA"/>
    <w:rsid w:val="178564C1"/>
    <w:rsid w:val="17EE415D"/>
    <w:rsid w:val="18AC5CCF"/>
    <w:rsid w:val="194303E2"/>
    <w:rsid w:val="195E521C"/>
    <w:rsid w:val="1A4D5F8B"/>
    <w:rsid w:val="1B3F2E2B"/>
    <w:rsid w:val="1B854CE1"/>
    <w:rsid w:val="1BF260EF"/>
    <w:rsid w:val="1CE617B0"/>
    <w:rsid w:val="1D38736A"/>
    <w:rsid w:val="1D7FD216"/>
    <w:rsid w:val="1E197963"/>
    <w:rsid w:val="1ECC2C27"/>
    <w:rsid w:val="1FB10057"/>
    <w:rsid w:val="200A1136"/>
    <w:rsid w:val="213F5933"/>
    <w:rsid w:val="220646A2"/>
    <w:rsid w:val="2358717F"/>
    <w:rsid w:val="23D5257E"/>
    <w:rsid w:val="244F40DF"/>
    <w:rsid w:val="24561911"/>
    <w:rsid w:val="24CD14A7"/>
    <w:rsid w:val="26706AE1"/>
    <w:rsid w:val="270A253F"/>
    <w:rsid w:val="27DF5779"/>
    <w:rsid w:val="288B5901"/>
    <w:rsid w:val="296543A4"/>
    <w:rsid w:val="2A662182"/>
    <w:rsid w:val="2AB32EED"/>
    <w:rsid w:val="2B466707"/>
    <w:rsid w:val="2B830B12"/>
    <w:rsid w:val="2BC929C8"/>
    <w:rsid w:val="2C7EB296"/>
    <w:rsid w:val="2CA26CD0"/>
    <w:rsid w:val="2CC3566A"/>
    <w:rsid w:val="2DAF3E40"/>
    <w:rsid w:val="2EFD9EB4"/>
    <w:rsid w:val="2F0D3D38"/>
    <w:rsid w:val="2F2F0744"/>
    <w:rsid w:val="2F3F11F4"/>
    <w:rsid w:val="2FAB0EBD"/>
    <w:rsid w:val="32A45F3D"/>
    <w:rsid w:val="333F6C07"/>
    <w:rsid w:val="335A6708"/>
    <w:rsid w:val="35571045"/>
    <w:rsid w:val="358160C2"/>
    <w:rsid w:val="358A75BB"/>
    <w:rsid w:val="35DA3A24"/>
    <w:rsid w:val="35EFC2F6"/>
    <w:rsid w:val="373B5787"/>
    <w:rsid w:val="37E33064"/>
    <w:rsid w:val="3986014B"/>
    <w:rsid w:val="3A0D6176"/>
    <w:rsid w:val="3A35391F"/>
    <w:rsid w:val="3A8A77C7"/>
    <w:rsid w:val="3AF86E26"/>
    <w:rsid w:val="3B2319C9"/>
    <w:rsid w:val="3B3F4C51"/>
    <w:rsid w:val="3B7E6CF8"/>
    <w:rsid w:val="3BD6384A"/>
    <w:rsid w:val="3BF21AC7"/>
    <w:rsid w:val="3D7D3105"/>
    <w:rsid w:val="3D8B9406"/>
    <w:rsid w:val="3DB92E4C"/>
    <w:rsid w:val="3DFE40CC"/>
    <w:rsid w:val="3EF7B5EC"/>
    <w:rsid w:val="3F0062A9"/>
    <w:rsid w:val="3F433C19"/>
    <w:rsid w:val="3F5FFA5F"/>
    <w:rsid w:val="3F693CA1"/>
    <w:rsid w:val="3FD71115"/>
    <w:rsid w:val="3FDFA662"/>
    <w:rsid w:val="3FFD9502"/>
    <w:rsid w:val="409F7D44"/>
    <w:rsid w:val="40A01296"/>
    <w:rsid w:val="425521A6"/>
    <w:rsid w:val="4258464E"/>
    <w:rsid w:val="43727992"/>
    <w:rsid w:val="43FFD7CF"/>
    <w:rsid w:val="45280E97"/>
    <w:rsid w:val="4618037D"/>
    <w:rsid w:val="46B53E1D"/>
    <w:rsid w:val="4707043B"/>
    <w:rsid w:val="47240FA3"/>
    <w:rsid w:val="473A4323"/>
    <w:rsid w:val="47FE0291"/>
    <w:rsid w:val="490C1CEF"/>
    <w:rsid w:val="497F6965"/>
    <w:rsid w:val="49BE123B"/>
    <w:rsid w:val="4A4064B8"/>
    <w:rsid w:val="4A413C1A"/>
    <w:rsid w:val="4A767404"/>
    <w:rsid w:val="4A7D4C52"/>
    <w:rsid w:val="4B7F67BF"/>
    <w:rsid w:val="4C222EEA"/>
    <w:rsid w:val="4C87000A"/>
    <w:rsid w:val="4D4DFFA6"/>
    <w:rsid w:val="4D987FF5"/>
    <w:rsid w:val="4E241889"/>
    <w:rsid w:val="4E850579"/>
    <w:rsid w:val="4EE74D90"/>
    <w:rsid w:val="4F70495B"/>
    <w:rsid w:val="4FFE393D"/>
    <w:rsid w:val="50B62A30"/>
    <w:rsid w:val="50BD5F93"/>
    <w:rsid w:val="50D0372A"/>
    <w:rsid w:val="512A1209"/>
    <w:rsid w:val="518C1C1F"/>
    <w:rsid w:val="51FF6894"/>
    <w:rsid w:val="52A1794C"/>
    <w:rsid w:val="52CF44B9"/>
    <w:rsid w:val="53195734"/>
    <w:rsid w:val="53332C9A"/>
    <w:rsid w:val="54B5148C"/>
    <w:rsid w:val="54EA382C"/>
    <w:rsid w:val="54F55D2D"/>
    <w:rsid w:val="55D342C0"/>
    <w:rsid w:val="55E97640"/>
    <w:rsid w:val="56BEFC9F"/>
    <w:rsid w:val="56F3125F"/>
    <w:rsid w:val="56FC7846"/>
    <w:rsid w:val="57256D9D"/>
    <w:rsid w:val="5777FFA0"/>
    <w:rsid w:val="577F73AF"/>
    <w:rsid w:val="57B66851"/>
    <w:rsid w:val="57BF921A"/>
    <w:rsid w:val="57EC1669"/>
    <w:rsid w:val="59A5DDB6"/>
    <w:rsid w:val="59CEA25A"/>
    <w:rsid w:val="5B7E6A05"/>
    <w:rsid w:val="5B7E6A7C"/>
    <w:rsid w:val="5BDFA09C"/>
    <w:rsid w:val="5C7659A5"/>
    <w:rsid w:val="5D28314C"/>
    <w:rsid w:val="5D772857"/>
    <w:rsid w:val="5D78256B"/>
    <w:rsid w:val="5D7F2042"/>
    <w:rsid w:val="5DFFEA16"/>
    <w:rsid w:val="5E453881"/>
    <w:rsid w:val="5E7D0A6B"/>
    <w:rsid w:val="5F322057"/>
    <w:rsid w:val="5F6A320F"/>
    <w:rsid w:val="5F6F115F"/>
    <w:rsid w:val="5F974D45"/>
    <w:rsid w:val="5FE7CBC1"/>
    <w:rsid w:val="5FEF84A0"/>
    <w:rsid w:val="5FFE68CD"/>
    <w:rsid w:val="6098238E"/>
    <w:rsid w:val="61047A23"/>
    <w:rsid w:val="620C3034"/>
    <w:rsid w:val="6337F354"/>
    <w:rsid w:val="64746C6E"/>
    <w:rsid w:val="64E21E2A"/>
    <w:rsid w:val="65BD4645"/>
    <w:rsid w:val="65FA13F5"/>
    <w:rsid w:val="6662260E"/>
    <w:rsid w:val="66B7A216"/>
    <w:rsid w:val="670C5884"/>
    <w:rsid w:val="67542D87"/>
    <w:rsid w:val="679413D5"/>
    <w:rsid w:val="67EE2756"/>
    <w:rsid w:val="67FFFEC6"/>
    <w:rsid w:val="68242759"/>
    <w:rsid w:val="69B30D4B"/>
    <w:rsid w:val="69D837FB"/>
    <w:rsid w:val="6A276531"/>
    <w:rsid w:val="6A58493C"/>
    <w:rsid w:val="6ACA583A"/>
    <w:rsid w:val="6C621AA2"/>
    <w:rsid w:val="6CB00A5F"/>
    <w:rsid w:val="6D0D4104"/>
    <w:rsid w:val="6D1F5631"/>
    <w:rsid w:val="6D6C14C6"/>
    <w:rsid w:val="6DFE2010"/>
    <w:rsid w:val="6E076DA5"/>
    <w:rsid w:val="6E8B1784"/>
    <w:rsid w:val="6F76FC59"/>
    <w:rsid w:val="6F9749CA"/>
    <w:rsid w:val="6FDB1CFC"/>
    <w:rsid w:val="6FE99E82"/>
    <w:rsid w:val="6FEFFB82"/>
    <w:rsid w:val="6FFBEE41"/>
    <w:rsid w:val="6FFF4606"/>
    <w:rsid w:val="6FFF8BFC"/>
    <w:rsid w:val="706758D9"/>
    <w:rsid w:val="70981F36"/>
    <w:rsid w:val="71593474"/>
    <w:rsid w:val="719E38F8"/>
    <w:rsid w:val="71A854FC"/>
    <w:rsid w:val="71CB6B1D"/>
    <w:rsid w:val="728E539F"/>
    <w:rsid w:val="729C010D"/>
    <w:rsid w:val="7355410F"/>
    <w:rsid w:val="73FF167B"/>
    <w:rsid w:val="74102F43"/>
    <w:rsid w:val="74B84955"/>
    <w:rsid w:val="7679ACB3"/>
    <w:rsid w:val="768216BE"/>
    <w:rsid w:val="76A9CB6E"/>
    <w:rsid w:val="770E4D00"/>
    <w:rsid w:val="770E7C1E"/>
    <w:rsid w:val="77163BB5"/>
    <w:rsid w:val="773558E2"/>
    <w:rsid w:val="77470212"/>
    <w:rsid w:val="774C7159"/>
    <w:rsid w:val="777F76DD"/>
    <w:rsid w:val="77AD598B"/>
    <w:rsid w:val="77BFC366"/>
    <w:rsid w:val="77EF1BEF"/>
    <w:rsid w:val="77EFD3B7"/>
    <w:rsid w:val="77FBCBC1"/>
    <w:rsid w:val="77FE9FAB"/>
    <w:rsid w:val="77FFA645"/>
    <w:rsid w:val="78BFCCB3"/>
    <w:rsid w:val="796A7F88"/>
    <w:rsid w:val="797B2281"/>
    <w:rsid w:val="7A067F11"/>
    <w:rsid w:val="7A1DADDF"/>
    <w:rsid w:val="7B2368A0"/>
    <w:rsid w:val="7B7BAE37"/>
    <w:rsid w:val="7BB74243"/>
    <w:rsid w:val="7BBAB820"/>
    <w:rsid w:val="7BD68C61"/>
    <w:rsid w:val="7BDF6468"/>
    <w:rsid w:val="7BF63494"/>
    <w:rsid w:val="7CDEE29F"/>
    <w:rsid w:val="7DD34961"/>
    <w:rsid w:val="7DDFBCA6"/>
    <w:rsid w:val="7DFEC8F5"/>
    <w:rsid w:val="7DFF9E8D"/>
    <w:rsid w:val="7E0F0A51"/>
    <w:rsid w:val="7EBBFE76"/>
    <w:rsid w:val="7EF0118F"/>
    <w:rsid w:val="7EFA1B40"/>
    <w:rsid w:val="7F2C5B2D"/>
    <w:rsid w:val="7F3B8D12"/>
    <w:rsid w:val="7F5E1265"/>
    <w:rsid w:val="7F6A0F42"/>
    <w:rsid w:val="7F7795F7"/>
    <w:rsid w:val="7F77C66C"/>
    <w:rsid w:val="7F9D9474"/>
    <w:rsid w:val="7FADC905"/>
    <w:rsid w:val="7FBDF07D"/>
    <w:rsid w:val="7FBFDDE2"/>
    <w:rsid w:val="7FC248DA"/>
    <w:rsid w:val="7FD38473"/>
    <w:rsid w:val="7FDFA1AF"/>
    <w:rsid w:val="7FE7FED0"/>
    <w:rsid w:val="7FEEBC2C"/>
    <w:rsid w:val="7FF5C772"/>
    <w:rsid w:val="7FF5EDC8"/>
    <w:rsid w:val="7FF7C445"/>
    <w:rsid w:val="7FF95B80"/>
    <w:rsid w:val="7FFB5AFB"/>
    <w:rsid w:val="83B7DCAA"/>
    <w:rsid w:val="87DFBC68"/>
    <w:rsid w:val="99EF1930"/>
    <w:rsid w:val="99FB63D4"/>
    <w:rsid w:val="9BBEC9AA"/>
    <w:rsid w:val="9D7EA315"/>
    <w:rsid w:val="9DFF97CE"/>
    <w:rsid w:val="A9FF0933"/>
    <w:rsid w:val="AA7D894F"/>
    <w:rsid w:val="ABFFF78D"/>
    <w:rsid w:val="AEDD6C11"/>
    <w:rsid w:val="AF7F9127"/>
    <w:rsid w:val="AFEBCF64"/>
    <w:rsid w:val="B1ADD0D9"/>
    <w:rsid w:val="B66B3F3E"/>
    <w:rsid w:val="B77D186E"/>
    <w:rsid w:val="B7FF23DA"/>
    <w:rsid w:val="B97D3635"/>
    <w:rsid w:val="B995949C"/>
    <w:rsid w:val="B9BD5A35"/>
    <w:rsid w:val="B9FE3A8E"/>
    <w:rsid w:val="BB273BC7"/>
    <w:rsid w:val="BBBF9C2E"/>
    <w:rsid w:val="BCB95C38"/>
    <w:rsid w:val="BDCB3F9E"/>
    <w:rsid w:val="BDE5FE95"/>
    <w:rsid w:val="BEBFC49B"/>
    <w:rsid w:val="BEDB0DE6"/>
    <w:rsid w:val="BEDB5E79"/>
    <w:rsid w:val="BF7F1190"/>
    <w:rsid w:val="BFA61E0F"/>
    <w:rsid w:val="BFDD5F44"/>
    <w:rsid w:val="BFDD9D8E"/>
    <w:rsid w:val="BFDEA4A3"/>
    <w:rsid w:val="BFE8FFCB"/>
    <w:rsid w:val="BFFDC503"/>
    <w:rsid w:val="BFFF06F5"/>
    <w:rsid w:val="BFFF6B59"/>
    <w:rsid w:val="C76FBCDD"/>
    <w:rsid w:val="C9F88343"/>
    <w:rsid w:val="CADCEB31"/>
    <w:rsid w:val="CBDF6F75"/>
    <w:rsid w:val="CDFEBEAA"/>
    <w:rsid w:val="CE4B01DA"/>
    <w:rsid w:val="CF8D3BBA"/>
    <w:rsid w:val="CFBD5EB7"/>
    <w:rsid w:val="CFF8F392"/>
    <w:rsid w:val="D79F3125"/>
    <w:rsid w:val="D7D33864"/>
    <w:rsid w:val="D7E768C9"/>
    <w:rsid w:val="D8BDD38C"/>
    <w:rsid w:val="D9DF490E"/>
    <w:rsid w:val="D9E76A07"/>
    <w:rsid w:val="D9FE67CD"/>
    <w:rsid w:val="DBDEE778"/>
    <w:rsid w:val="DDDF49C3"/>
    <w:rsid w:val="DE7FA674"/>
    <w:rsid w:val="DEDD0D8D"/>
    <w:rsid w:val="DF3D3322"/>
    <w:rsid w:val="DF7DF99A"/>
    <w:rsid w:val="DFAC83D6"/>
    <w:rsid w:val="DFB5C761"/>
    <w:rsid w:val="DFBEB67A"/>
    <w:rsid w:val="DFBFB8DF"/>
    <w:rsid w:val="DFFBF837"/>
    <w:rsid w:val="DFFED26D"/>
    <w:rsid w:val="E4FF96FB"/>
    <w:rsid w:val="E6F6D3EB"/>
    <w:rsid w:val="E7CF02EE"/>
    <w:rsid w:val="E7D0652F"/>
    <w:rsid w:val="E7EB0507"/>
    <w:rsid w:val="EAAF47A5"/>
    <w:rsid w:val="ED7EA56F"/>
    <w:rsid w:val="EE569B1A"/>
    <w:rsid w:val="EE670D0E"/>
    <w:rsid w:val="EEA638D4"/>
    <w:rsid w:val="EEB7213F"/>
    <w:rsid w:val="EF1B5A40"/>
    <w:rsid w:val="EF3D92CB"/>
    <w:rsid w:val="EF6B254A"/>
    <w:rsid w:val="EF7F4DD8"/>
    <w:rsid w:val="EF7FFF40"/>
    <w:rsid w:val="EFEC487B"/>
    <w:rsid w:val="EFF21042"/>
    <w:rsid w:val="EFF331D9"/>
    <w:rsid w:val="F55F74AC"/>
    <w:rsid w:val="F5EBC3F7"/>
    <w:rsid w:val="F75FF6D0"/>
    <w:rsid w:val="F77431CE"/>
    <w:rsid w:val="F77F07A7"/>
    <w:rsid w:val="F7BE83BB"/>
    <w:rsid w:val="F7DA43DB"/>
    <w:rsid w:val="F7E347F1"/>
    <w:rsid w:val="F7FF3C0C"/>
    <w:rsid w:val="F9AFF43F"/>
    <w:rsid w:val="F9F73FCD"/>
    <w:rsid w:val="F9FEBD66"/>
    <w:rsid w:val="FB3B0927"/>
    <w:rsid w:val="FB7CF7CC"/>
    <w:rsid w:val="FB9ED07A"/>
    <w:rsid w:val="FBFED194"/>
    <w:rsid w:val="FC86605B"/>
    <w:rsid w:val="FD87DF39"/>
    <w:rsid w:val="FD9FD565"/>
    <w:rsid w:val="FDD7DBF8"/>
    <w:rsid w:val="FDDA8E2A"/>
    <w:rsid w:val="FDFB785B"/>
    <w:rsid w:val="FDFF152F"/>
    <w:rsid w:val="FE4D0BAA"/>
    <w:rsid w:val="FE6ADFAA"/>
    <w:rsid w:val="FEABAB55"/>
    <w:rsid w:val="FEB62E43"/>
    <w:rsid w:val="FED7FC54"/>
    <w:rsid w:val="FEDCAFF3"/>
    <w:rsid w:val="FEDFB2A6"/>
    <w:rsid w:val="FEE9AD65"/>
    <w:rsid w:val="FEEF9134"/>
    <w:rsid w:val="FEFF7612"/>
    <w:rsid w:val="FF1FC45F"/>
    <w:rsid w:val="FF505F89"/>
    <w:rsid w:val="FF73FEA7"/>
    <w:rsid w:val="FF7D8F2D"/>
    <w:rsid w:val="FF7FCB54"/>
    <w:rsid w:val="FFB96E2F"/>
    <w:rsid w:val="FFDBE6DD"/>
    <w:rsid w:val="FFDFF56B"/>
    <w:rsid w:val="FFF37CBD"/>
    <w:rsid w:val="FFF6B5C8"/>
    <w:rsid w:val="FFFB9F4F"/>
    <w:rsid w:val="FFFDB707"/>
    <w:rsid w:val="FFFF07BD"/>
    <w:rsid w:val="FFFF2AAF"/>
    <w:rsid w:val="FFFF3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autoRedefine/>
    <w:qFormat/>
    <w:uiPriority w:val="0"/>
    <w:pPr>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200" w:leftChars="200"/>
    </w:pPr>
  </w:style>
  <w:style w:type="paragraph" w:styleId="4">
    <w:name w:val="Body Text"/>
    <w:basedOn w:val="1"/>
    <w:autoRedefine/>
    <w:qFormat/>
    <w:uiPriority w:val="0"/>
    <w:pPr>
      <w:spacing w:line="240" w:lineRule="auto"/>
    </w:pPr>
    <w:rPr>
      <w:rFonts w:eastAsia="宋体"/>
      <w:sz w:val="30"/>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11184</Words>
  <Characters>11394</Characters>
  <Lines>1</Lines>
  <Paragraphs>1</Paragraphs>
  <TotalTime>69</TotalTime>
  <ScaleCrop>false</ScaleCrop>
  <LinksUpToDate>false</LinksUpToDate>
  <CharactersWithSpaces>11639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2023-07-22T11:30:00Z</dcterms:created>
  <dc:creator>Kingsoft-PDF</dc:creator>
  <cp:lastModifiedBy>WPS_1537014858</cp:lastModifiedBy>
  <cp:lastPrinted>2023-12-21T01:36:00Z</cp:lastPrinted>
  <dcterms:modified xsi:type="dcterms:W3CDTF">2024-02-22T08:09:27Z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2023-07-19T11:30:21Z</vt:filetime>
  </property>
  <property fmtid="{D5CDD505-2E9C-101B-9397-08002B2CF9AE}" pid="4" name="UsrData">
    <vt:lpwstr>64b758b85c57f4001f0a1d38</vt:lpwstr>
  </property>
  <property fmtid="{D5CDD505-2E9C-101B-9397-08002B2CF9AE}" pid="5" name="KSOProductBuildVer">
    <vt:lpwstr>2052-12.1.0.16120</vt:lpwstr>
  </property>
  <property fmtid="{D5CDD505-2E9C-101B-9397-08002B2CF9AE}" pid="6" name="ICV">
    <vt:lpwstr>1FAA72ABA0AE4A16A700CED69DB31F0A_13</vt:lpwstr>
  </property>
</Properties>
</file>